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C0D4" w14:textId="2CD26945" w:rsidR="006074F1" w:rsidRPr="00C9396A" w:rsidRDefault="00220994" w:rsidP="006074F1">
      <w:pPr>
        <w:spacing w:before="100" w:beforeAutospacing="1" w:after="100" w:afterAutospacing="1"/>
        <w:jc w:val="center"/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</w:pPr>
      <w:r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Nowa </w:t>
      </w:r>
      <w:r w:rsidR="00E733E4" w:rsidRPr="00C9396A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>Mazda</w:t>
      </w:r>
      <w:r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 z roku 2022</w:t>
      </w:r>
      <w:r w:rsidR="00E733E4" w:rsidRPr="00C9396A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 </w:t>
      </w:r>
      <w:r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>z gwarancją ceny</w:t>
      </w:r>
      <w:r w:rsidR="00294662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 z 2021</w:t>
      </w:r>
    </w:p>
    <w:p w14:paraId="2117442F" w14:textId="46B930D6" w:rsidR="00EA3120" w:rsidRDefault="00E733E4" w:rsidP="0088786E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 w:rsidRPr="0088786E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Warszawa, 1</w:t>
      </w:r>
      <w:r w:rsidR="00220994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5</w:t>
      </w:r>
      <w:r w:rsidRPr="0088786E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 xml:space="preserve"> listopada 2021</w:t>
      </w:r>
      <w:r w:rsidR="00220994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 xml:space="preserve"> r</w:t>
      </w:r>
      <w:r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>. Mazda Motor Poland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AF145C">
        <w:rPr>
          <w:rFonts w:ascii="Mazda Type" w:eastAsia="Times New Roman" w:hAnsi="Mazda Type" w:cs="Times New Roman"/>
          <w:sz w:val="22"/>
          <w:szCs w:val="22"/>
          <w:lang w:eastAsia="pl-PL"/>
        </w:rPr>
        <w:t>wprowadza akcję specjalną, w ramach której gwarantuje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niezmienne ceny zakupu samochodów zamówionych przez klientów do końca listopada </w:t>
      </w:r>
      <w:r w:rsidR="00AF145C">
        <w:rPr>
          <w:rFonts w:ascii="Mazda Type" w:eastAsia="Times New Roman" w:hAnsi="Mazda Type" w:cs="Times New Roman"/>
          <w:sz w:val="22"/>
          <w:szCs w:val="22"/>
          <w:lang w:eastAsia="pl-PL"/>
        </w:rPr>
        <w:t>tego roku.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Gwarancja stałej ceny dotyczy wszystkich model</w:t>
      </w:r>
      <w:r w:rsid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i Mazdy 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>w dowolnej wersji</w:t>
      </w:r>
      <w:r w:rsidR="00AF145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silnikowej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i wyposażenia</w:t>
      </w:r>
      <w:r w:rsid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, </w:t>
      </w:r>
      <w:r w:rsidR="00AF145C">
        <w:rPr>
          <w:rFonts w:ascii="Mazda Type" w:eastAsia="Times New Roman" w:hAnsi="Mazda Type" w:cs="Times New Roman"/>
          <w:sz w:val="22"/>
          <w:szCs w:val="22"/>
          <w:lang w:eastAsia="pl-PL"/>
        </w:rPr>
        <w:t>które zostaną wyprodukowane na konkretne zamówienie klienckie w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2022</w:t>
      </w:r>
      <w:r w:rsidR="00AF145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r</w:t>
      </w:r>
      <w:r w:rsidR="00EA3120" w:rsidRPr="0088786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. </w:t>
      </w:r>
    </w:p>
    <w:p w14:paraId="6EAB79AB" w14:textId="7A7B41A0" w:rsidR="00AF145C" w:rsidRPr="0088786E" w:rsidRDefault="00AF145C" w:rsidP="00AF145C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r w:rsidRPr="0088786E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„</w:t>
      </w:r>
      <w:r w:rsidRPr="00410A50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W okresie rosnących cen niemal wszystkich towarów i usług, chcemy zapewnić naszym klientom komfort wyboru dowolnej Mazdy do produkcji w 2022 r., bez ryzyka inflacyjnego. W tej chwili przyjmujemy zamówienia na wszystkie modele z naszej gamy, najbliższa produkcja rocznika 2022 zaplanowana jest na </w:t>
      </w:r>
      <w:r w:rsidR="00CC3EC4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I kwartał nowego roku</w:t>
      </w:r>
      <w:r w:rsidRPr="00410A50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, a dostawy – na </w:t>
      </w:r>
      <w:r w:rsidR="00CC3EC4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II kwartał</w:t>
      </w:r>
      <w:r w:rsidRPr="00410A50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przyszłego roku.”</w:t>
      </w:r>
      <w:r w:rsidRPr="0088786E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– </w:t>
      </w:r>
      <w:r w:rsidR="00AF3147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mówi</w:t>
      </w:r>
      <w:r w:rsidRPr="0088786E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Piotr Nowak, Dyrektor </w:t>
      </w:r>
      <w:r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Sprzedaży</w:t>
      </w:r>
      <w:r w:rsidRPr="0088786E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Mazda Motor Poland.</w:t>
      </w:r>
    </w:p>
    <w:p w14:paraId="73C96024" w14:textId="6931FA37" w:rsidR="002079C0" w:rsidRPr="0088786E" w:rsidRDefault="00AF145C" w:rsidP="0088786E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Mijający rok przyniósł wiele 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>podwyżek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 cennikach poddostawców branży motoryzacyjnej. Zdrożały surowce, a co za tym idzie – materiały do produkcji karoserii, silników i elementów wyposażenia, 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>w górę poszła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energia i koszty transportu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>, a epidemia COVID wymusiła większe nakłady na ochronę zdrowia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. „Z uwagą przyglądamy się także sytuacji na rynkach walutowych, bo dla nas ma ona duże znaczenie. Ceny naszych samochodów zależne są od notowań par jen-euro i euro-złoty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>, więc mamy do czynienia z szeregiem różnorodnych elementów, które kształtują nasze cenniki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teraz i w przyszłości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. 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>A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>kcja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gwaran</w:t>
      </w:r>
      <w:r w:rsidR="00294662">
        <w:rPr>
          <w:rFonts w:ascii="Mazda Type" w:eastAsia="Times New Roman" w:hAnsi="Mazda Type" w:cs="Times New Roman"/>
          <w:sz w:val="22"/>
          <w:szCs w:val="22"/>
          <w:lang w:eastAsia="pl-PL"/>
        </w:rPr>
        <w:t>tująca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ceny</w:t>
      </w:r>
      <w:r w:rsidR="002946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z 2021 na samochody wyprodukowane w 2022 r.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jest zatem ograniczona czas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>owo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, choć </w:t>
      </w:r>
      <w:r w:rsidR="00AF3147">
        <w:rPr>
          <w:rFonts w:ascii="Mazda Type" w:eastAsia="Times New Roman" w:hAnsi="Mazda Type" w:cs="Times New Roman"/>
          <w:sz w:val="22"/>
          <w:szCs w:val="22"/>
          <w:lang w:eastAsia="pl-PL"/>
        </w:rPr>
        <w:t>nie wykluczamy jej przedłużenia przy sprzyjających okolicznościach” – dodaje Piotr Nowak.</w:t>
      </w:r>
      <w:r w:rsidR="00BA53FC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</w:p>
    <w:p w14:paraId="6B1E5B90" w14:textId="136760A5" w:rsidR="00390AD9" w:rsidRPr="0088786E" w:rsidRDefault="00390AD9" w:rsidP="00410A50">
      <w:pPr>
        <w:tabs>
          <w:tab w:val="left" w:pos="3261"/>
        </w:tabs>
        <w:jc w:val="center"/>
        <w:rPr>
          <w:rFonts w:ascii="Mazda Type" w:hAnsi="Mazda Type"/>
          <w:sz w:val="22"/>
          <w:szCs w:val="22"/>
        </w:rPr>
      </w:pPr>
    </w:p>
    <w:sectPr w:rsidR="00390AD9" w:rsidRPr="0088786E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3011B" w14:textId="77777777" w:rsidR="0026197B" w:rsidRDefault="0026197B">
      <w:r>
        <w:separator/>
      </w:r>
    </w:p>
  </w:endnote>
  <w:endnote w:type="continuationSeparator" w:id="0">
    <w:p w14:paraId="1447F052" w14:textId="77777777" w:rsidR="0026197B" w:rsidRDefault="0026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5488" w14:textId="77777777" w:rsidR="007D25EF" w:rsidRDefault="00E743CE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6EAF" w14:textId="77777777" w:rsidR="0026197B" w:rsidRDefault="0026197B">
      <w:r>
        <w:separator/>
      </w:r>
    </w:p>
  </w:footnote>
  <w:footnote w:type="continuationSeparator" w:id="0">
    <w:p w14:paraId="6C29B3B0" w14:textId="77777777" w:rsidR="0026197B" w:rsidRDefault="0026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05E4" w14:textId="3925AA36" w:rsidR="007D25EF" w:rsidRPr="00743580" w:rsidRDefault="00E743CE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26197B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A7E"/>
    <w:multiLevelType w:val="hybridMultilevel"/>
    <w:tmpl w:val="F4A4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53B0B"/>
    <w:multiLevelType w:val="hybridMultilevel"/>
    <w:tmpl w:val="A702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10ABA"/>
    <w:rsid w:val="0002153B"/>
    <w:rsid w:val="00023E90"/>
    <w:rsid w:val="000263D0"/>
    <w:rsid w:val="00045DCC"/>
    <w:rsid w:val="00067123"/>
    <w:rsid w:val="00070958"/>
    <w:rsid w:val="0007580D"/>
    <w:rsid w:val="00093910"/>
    <w:rsid w:val="000A1720"/>
    <w:rsid w:val="000A22D7"/>
    <w:rsid w:val="000A38EE"/>
    <w:rsid w:val="000A625F"/>
    <w:rsid w:val="000B54FE"/>
    <w:rsid w:val="000E69EC"/>
    <w:rsid w:val="000E6D44"/>
    <w:rsid w:val="000F7BB7"/>
    <w:rsid w:val="001018F7"/>
    <w:rsid w:val="001029F6"/>
    <w:rsid w:val="00105DCF"/>
    <w:rsid w:val="001455CF"/>
    <w:rsid w:val="00170DC8"/>
    <w:rsid w:val="0017108D"/>
    <w:rsid w:val="001B0062"/>
    <w:rsid w:val="001B0AF9"/>
    <w:rsid w:val="001D1DCE"/>
    <w:rsid w:val="001D431A"/>
    <w:rsid w:val="001E30FB"/>
    <w:rsid w:val="002079C0"/>
    <w:rsid w:val="00220994"/>
    <w:rsid w:val="002446EF"/>
    <w:rsid w:val="002531D5"/>
    <w:rsid w:val="0026197B"/>
    <w:rsid w:val="0027715E"/>
    <w:rsid w:val="00287737"/>
    <w:rsid w:val="00294662"/>
    <w:rsid w:val="002A4C4F"/>
    <w:rsid w:val="002B3976"/>
    <w:rsid w:val="002C20E7"/>
    <w:rsid w:val="002D173C"/>
    <w:rsid w:val="002E2817"/>
    <w:rsid w:val="002F4AA7"/>
    <w:rsid w:val="00310585"/>
    <w:rsid w:val="003147FF"/>
    <w:rsid w:val="0031640A"/>
    <w:rsid w:val="00354388"/>
    <w:rsid w:val="00360A79"/>
    <w:rsid w:val="003674A4"/>
    <w:rsid w:val="00373DAC"/>
    <w:rsid w:val="0038106C"/>
    <w:rsid w:val="00387EB9"/>
    <w:rsid w:val="00390AD9"/>
    <w:rsid w:val="003A3B43"/>
    <w:rsid w:val="003C1CC1"/>
    <w:rsid w:val="003C5E8F"/>
    <w:rsid w:val="003F4B06"/>
    <w:rsid w:val="003F5EE0"/>
    <w:rsid w:val="00400074"/>
    <w:rsid w:val="00400677"/>
    <w:rsid w:val="00402236"/>
    <w:rsid w:val="00410A50"/>
    <w:rsid w:val="00413861"/>
    <w:rsid w:val="0043324B"/>
    <w:rsid w:val="00440340"/>
    <w:rsid w:val="00443659"/>
    <w:rsid w:val="00443753"/>
    <w:rsid w:val="00451138"/>
    <w:rsid w:val="00454559"/>
    <w:rsid w:val="004575B5"/>
    <w:rsid w:val="0047366E"/>
    <w:rsid w:val="00490A0A"/>
    <w:rsid w:val="004915F5"/>
    <w:rsid w:val="00493C69"/>
    <w:rsid w:val="004E0731"/>
    <w:rsid w:val="004E4D32"/>
    <w:rsid w:val="004F3A4F"/>
    <w:rsid w:val="00507089"/>
    <w:rsid w:val="005169B8"/>
    <w:rsid w:val="00540D37"/>
    <w:rsid w:val="00541027"/>
    <w:rsid w:val="00543B6B"/>
    <w:rsid w:val="0057139E"/>
    <w:rsid w:val="00573C88"/>
    <w:rsid w:val="005C57FC"/>
    <w:rsid w:val="005D2FF1"/>
    <w:rsid w:val="005E7A72"/>
    <w:rsid w:val="00606C9D"/>
    <w:rsid w:val="006074F1"/>
    <w:rsid w:val="0061751A"/>
    <w:rsid w:val="006460A9"/>
    <w:rsid w:val="0065043D"/>
    <w:rsid w:val="00653F40"/>
    <w:rsid w:val="0066361F"/>
    <w:rsid w:val="006672BD"/>
    <w:rsid w:val="00680CB5"/>
    <w:rsid w:val="006820A9"/>
    <w:rsid w:val="006821B0"/>
    <w:rsid w:val="006A643D"/>
    <w:rsid w:val="006F7DA4"/>
    <w:rsid w:val="00711885"/>
    <w:rsid w:val="00737EB5"/>
    <w:rsid w:val="00740323"/>
    <w:rsid w:val="007447A6"/>
    <w:rsid w:val="007503F2"/>
    <w:rsid w:val="007841B3"/>
    <w:rsid w:val="0079106D"/>
    <w:rsid w:val="00797643"/>
    <w:rsid w:val="00797A00"/>
    <w:rsid w:val="00797F9B"/>
    <w:rsid w:val="007B3A0B"/>
    <w:rsid w:val="007B4CBF"/>
    <w:rsid w:val="007C5FF1"/>
    <w:rsid w:val="007D417D"/>
    <w:rsid w:val="007F3BF7"/>
    <w:rsid w:val="007F71F5"/>
    <w:rsid w:val="00815ECE"/>
    <w:rsid w:val="008210CD"/>
    <w:rsid w:val="00827BF2"/>
    <w:rsid w:val="0083369B"/>
    <w:rsid w:val="0085284F"/>
    <w:rsid w:val="00852CC4"/>
    <w:rsid w:val="00854975"/>
    <w:rsid w:val="0086408C"/>
    <w:rsid w:val="00865574"/>
    <w:rsid w:val="008663C5"/>
    <w:rsid w:val="0088786E"/>
    <w:rsid w:val="008C4766"/>
    <w:rsid w:val="008C4E1E"/>
    <w:rsid w:val="008D006E"/>
    <w:rsid w:val="008D0570"/>
    <w:rsid w:val="008F7D4E"/>
    <w:rsid w:val="00905912"/>
    <w:rsid w:val="00906DCE"/>
    <w:rsid w:val="00926188"/>
    <w:rsid w:val="00934341"/>
    <w:rsid w:val="009410C9"/>
    <w:rsid w:val="009415BF"/>
    <w:rsid w:val="00942B06"/>
    <w:rsid w:val="009530EF"/>
    <w:rsid w:val="00957CC1"/>
    <w:rsid w:val="00963492"/>
    <w:rsid w:val="00973003"/>
    <w:rsid w:val="0099686C"/>
    <w:rsid w:val="009A2C07"/>
    <w:rsid w:val="009A6576"/>
    <w:rsid w:val="009B0186"/>
    <w:rsid w:val="009B1358"/>
    <w:rsid w:val="009B3D79"/>
    <w:rsid w:val="009B65C7"/>
    <w:rsid w:val="009D229D"/>
    <w:rsid w:val="009F19BF"/>
    <w:rsid w:val="009F1A8D"/>
    <w:rsid w:val="00A01D59"/>
    <w:rsid w:val="00A02FEC"/>
    <w:rsid w:val="00A10DDB"/>
    <w:rsid w:val="00A4172F"/>
    <w:rsid w:val="00A776DF"/>
    <w:rsid w:val="00A8600B"/>
    <w:rsid w:val="00A8610A"/>
    <w:rsid w:val="00A93C1A"/>
    <w:rsid w:val="00A94C80"/>
    <w:rsid w:val="00AB48EC"/>
    <w:rsid w:val="00AB6A6F"/>
    <w:rsid w:val="00AC2673"/>
    <w:rsid w:val="00AE19F4"/>
    <w:rsid w:val="00AE237D"/>
    <w:rsid w:val="00AE465B"/>
    <w:rsid w:val="00AE6CAC"/>
    <w:rsid w:val="00AF145C"/>
    <w:rsid w:val="00AF3147"/>
    <w:rsid w:val="00AF31C6"/>
    <w:rsid w:val="00AF6C12"/>
    <w:rsid w:val="00B03D49"/>
    <w:rsid w:val="00B55689"/>
    <w:rsid w:val="00B65364"/>
    <w:rsid w:val="00B966DE"/>
    <w:rsid w:val="00BA216F"/>
    <w:rsid w:val="00BA53FC"/>
    <w:rsid w:val="00BA5819"/>
    <w:rsid w:val="00BA5B97"/>
    <w:rsid w:val="00BB7512"/>
    <w:rsid w:val="00BD3D9D"/>
    <w:rsid w:val="00BE288B"/>
    <w:rsid w:val="00BE52F8"/>
    <w:rsid w:val="00C0269A"/>
    <w:rsid w:val="00C17EC6"/>
    <w:rsid w:val="00C20726"/>
    <w:rsid w:val="00C20C9F"/>
    <w:rsid w:val="00C262AA"/>
    <w:rsid w:val="00C332D4"/>
    <w:rsid w:val="00C65969"/>
    <w:rsid w:val="00C84E87"/>
    <w:rsid w:val="00C910A5"/>
    <w:rsid w:val="00C9396A"/>
    <w:rsid w:val="00CA3160"/>
    <w:rsid w:val="00CB1232"/>
    <w:rsid w:val="00CC0D7C"/>
    <w:rsid w:val="00CC3EC4"/>
    <w:rsid w:val="00CE199A"/>
    <w:rsid w:val="00CE5761"/>
    <w:rsid w:val="00CF20D3"/>
    <w:rsid w:val="00D44DA4"/>
    <w:rsid w:val="00D451F7"/>
    <w:rsid w:val="00D45478"/>
    <w:rsid w:val="00D478EE"/>
    <w:rsid w:val="00D5528B"/>
    <w:rsid w:val="00D552BA"/>
    <w:rsid w:val="00D57264"/>
    <w:rsid w:val="00D66AAD"/>
    <w:rsid w:val="00D67B6C"/>
    <w:rsid w:val="00D72394"/>
    <w:rsid w:val="00D8326B"/>
    <w:rsid w:val="00D8625C"/>
    <w:rsid w:val="00DA3118"/>
    <w:rsid w:val="00DA7454"/>
    <w:rsid w:val="00DB421C"/>
    <w:rsid w:val="00DD141D"/>
    <w:rsid w:val="00DD6335"/>
    <w:rsid w:val="00DE0F73"/>
    <w:rsid w:val="00DE4DB9"/>
    <w:rsid w:val="00DF590F"/>
    <w:rsid w:val="00E0699E"/>
    <w:rsid w:val="00E26E15"/>
    <w:rsid w:val="00E33F37"/>
    <w:rsid w:val="00E541C5"/>
    <w:rsid w:val="00E71F39"/>
    <w:rsid w:val="00E733E4"/>
    <w:rsid w:val="00E743CE"/>
    <w:rsid w:val="00E94230"/>
    <w:rsid w:val="00EA1EEF"/>
    <w:rsid w:val="00EA3120"/>
    <w:rsid w:val="00EA3571"/>
    <w:rsid w:val="00EB4576"/>
    <w:rsid w:val="00EC4AAC"/>
    <w:rsid w:val="00ED3B48"/>
    <w:rsid w:val="00ED4BD2"/>
    <w:rsid w:val="00EF18E0"/>
    <w:rsid w:val="00EF6882"/>
    <w:rsid w:val="00F22A68"/>
    <w:rsid w:val="00F24824"/>
    <w:rsid w:val="00F25D02"/>
    <w:rsid w:val="00F36984"/>
    <w:rsid w:val="00F37874"/>
    <w:rsid w:val="00F4045F"/>
    <w:rsid w:val="00F55B62"/>
    <w:rsid w:val="00F60BCD"/>
    <w:rsid w:val="00F77E93"/>
    <w:rsid w:val="00F8065F"/>
    <w:rsid w:val="00F958C4"/>
    <w:rsid w:val="00FA018C"/>
    <w:rsid w:val="00FA0C06"/>
    <w:rsid w:val="00FA6394"/>
    <w:rsid w:val="00FC10F6"/>
    <w:rsid w:val="00FD1733"/>
    <w:rsid w:val="00FE1D65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D0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E6CAC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97F9B"/>
    <w:rPr>
      <w:rFonts w:eastAsia="MS Mincho" w:cstheme="minorHAnsi"/>
      <w:sz w:val="18"/>
      <w:szCs w:val="24"/>
      <w:lang w:val="en-GB" w:eastAsia="de-DE"/>
    </w:rPr>
  </w:style>
  <w:style w:type="character" w:styleId="CommentReference">
    <w:name w:val="annotation reference"/>
    <w:basedOn w:val="DefaultParagraphFont"/>
    <w:semiHidden/>
    <w:unhideWhenUsed/>
    <w:rsid w:val="00D451F7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51F7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1F7"/>
    <w:rPr>
      <w:rFonts w:eastAsiaTheme="minorEastAsia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77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5127833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96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68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129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429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8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397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71848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9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9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11" w:color="E3E3E3"/>
            <w:right w:val="single" w:sz="6" w:space="0" w:color="E3E3E3"/>
          </w:divBdr>
          <w:divsChild>
            <w:div w:id="197525785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785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312">
                  <w:marLeft w:val="36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737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00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834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694339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41D3-83EE-41BD-910E-485E72F1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3</cp:revision>
  <cp:lastPrinted>2021-10-05T06:38:00Z</cp:lastPrinted>
  <dcterms:created xsi:type="dcterms:W3CDTF">2021-11-15T10:23:00Z</dcterms:created>
  <dcterms:modified xsi:type="dcterms:W3CDTF">2021-11-15T10:23:00Z</dcterms:modified>
</cp:coreProperties>
</file>