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8DEF" w14:textId="0B41C45C" w:rsidR="002D6673" w:rsidRPr="008E50D6" w:rsidRDefault="002D6673" w:rsidP="008E50D6">
      <w:pPr>
        <w:jc w:val="center"/>
        <w:rPr>
          <w:rFonts w:ascii="Mazda Type" w:hAnsi="Mazda Type"/>
          <w:sz w:val="32"/>
          <w:szCs w:val="32"/>
        </w:rPr>
      </w:pPr>
      <w:r w:rsidRPr="008E50D6">
        <w:rPr>
          <w:rFonts w:ascii="Mazda Type" w:hAnsi="Mazda Type"/>
          <w:sz w:val="22"/>
          <w:szCs w:val="22"/>
        </w:rPr>
        <w:br/>
      </w:r>
      <w:r w:rsidRPr="008E50D6">
        <w:rPr>
          <w:rFonts w:ascii="Mazda Type" w:hAnsi="Mazda Type"/>
          <w:sz w:val="32"/>
          <w:szCs w:val="32"/>
        </w:rPr>
        <w:t xml:space="preserve">Mazda </w:t>
      </w:r>
      <w:r w:rsidR="00735861" w:rsidRPr="008E50D6">
        <w:rPr>
          <w:rFonts w:ascii="Mazda Type" w:hAnsi="Mazda Type"/>
          <w:sz w:val="32"/>
          <w:szCs w:val="32"/>
        </w:rPr>
        <w:t>raportuje silny wzrost</w:t>
      </w:r>
      <w:r w:rsidR="004A2243">
        <w:rPr>
          <w:rFonts w:ascii="Mazda Type" w:hAnsi="Mazda Type"/>
          <w:sz w:val="32"/>
          <w:szCs w:val="32"/>
        </w:rPr>
        <w:t xml:space="preserve"> </w:t>
      </w:r>
      <w:r w:rsidR="0072319D">
        <w:rPr>
          <w:rFonts w:ascii="Mazda Type" w:hAnsi="Mazda Type"/>
          <w:sz w:val="32"/>
          <w:szCs w:val="32"/>
        </w:rPr>
        <w:t>zysków</w:t>
      </w:r>
      <w:r w:rsidR="004A2243">
        <w:rPr>
          <w:rFonts w:ascii="Mazda Type" w:hAnsi="Mazda Type"/>
          <w:sz w:val="32"/>
          <w:szCs w:val="32"/>
        </w:rPr>
        <w:t xml:space="preserve"> ze</w:t>
      </w:r>
      <w:r w:rsidR="00735861" w:rsidRPr="008E50D6">
        <w:rPr>
          <w:rFonts w:ascii="Mazda Type" w:hAnsi="Mazda Type"/>
          <w:sz w:val="32"/>
          <w:szCs w:val="32"/>
        </w:rPr>
        <w:t xml:space="preserve"> sprzedaży w pierwszym kwartale </w:t>
      </w:r>
      <w:r w:rsidR="00CE4E45">
        <w:rPr>
          <w:rFonts w:ascii="Mazda Type" w:hAnsi="Mazda Type"/>
          <w:sz w:val="32"/>
          <w:szCs w:val="32"/>
        </w:rPr>
        <w:t>bieżącego</w:t>
      </w:r>
      <w:r w:rsidR="00735861" w:rsidRPr="008E50D6">
        <w:rPr>
          <w:rFonts w:ascii="Mazda Type" w:hAnsi="Mazda Type"/>
          <w:sz w:val="32"/>
          <w:szCs w:val="32"/>
        </w:rPr>
        <w:t xml:space="preserve"> roku fiskalnego</w:t>
      </w:r>
    </w:p>
    <w:p w14:paraId="0FA816EB" w14:textId="77777777" w:rsidR="002D6673" w:rsidRPr="008E50D6" w:rsidRDefault="002D6673" w:rsidP="008E50D6">
      <w:pPr>
        <w:jc w:val="both"/>
        <w:rPr>
          <w:rFonts w:ascii="Mazda Type" w:hAnsi="Mazda Type"/>
          <w:sz w:val="22"/>
          <w:szCs w:val="22"/>
        </w:rPr>
      </w:pPr>
    </w:p>
    <w:p w14:paraId="65B69C6F" w14:textId="4E7B9302" w:rsidR="002D6673" w:rsidRPr="00CE4E45" w:rsidRDefault="002D6673" w:rsidP="008E50D6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Mazda Type" w:hAnsi="Mazda Type"/>
          <w:lang w:val="pl-PL"/>
        </w:rPr>
      </w:pPr>
      <w:r w:rsidRPr="00CE4E45">
        <w:rPr>
          <w:rFonts w:ascii="Mazda Type" w:hAnsi="Mazda Type"/>
          <w:lang w:val="pl-PL"/>
        </w:rPr>
        <w:t xml:space="preserve">Mazda </w:t>
      </w:r>
      <w:r w:rsidR="00735861" w:rsidRPr="00CE4E45">
        <w:rPr>
          <w:rFonts w:ascii="Mazda Type" w:hAnsi="Mazda Type"/>
          <w:lang w:val="pl-PL"/>
        </w:rPr>
        <w:t>osiąga najwyższy skonsolidowany wynik</w:t>
      </w:r>
      <w:r w:rsidR="0072319D">
        <w:rPr>
          <w:rFonts w:ascii="Mazda Type" w:hAnsi="Mazda Type"/>
          <w:lang w:val="pl-PL"/>
        </w:rPr>
        <w:t xml:space="preserve"> zysków netto ze</w:t>
      </w:r>
      <w:r w:rsidR="00735861" w:rsidRPr="00CE4E45">
        <w:rPr>
          <w:rFonts w:ascii="Mazda Type" w:hAnsi="Mazda Type"/>
          <w:lang w:val="pl-PL"/>
        </w:rPr>
        <w:t xml:space="preserve"> sprzedaży w pierwszym kwartale</w:t>
      </w:r>
      <w:r w:rsidR="00CE4E45">
        <w:rPr>
          <w:rFonts w:ascii="Mazda Type" w:hAnsi="Mazda Type"/>
          <w:lang w:val="pl-PL"/>
        </w:rPr>
        <w:t xml:space="preserve"> roku fiskalnego 2024/25</w:t>
      </w:r>
    </w:p>
    <w:p w14:paraId="67744127" w14:textId="77777777" w:rsidR="00735861" w:rsidRPr="008E50D6" w:rsidRDefault="00735861" w:rsidP="008E50D6">
      <w:pPr>
        <w:pStyle w:val="Akapitzlist"/>
        <w:spacing w:after="0" w:line="240" w:lineRule="auto"/>
        <w:jc w:val="both"/>
        <w:rPr>
          <w:rFonts w:ascii="Mazda Type" w:hAnsi="Mazda Type"/>
          <w:color w:val="FF0000"/>
          <w:lang w:val="pl-PL"/>
        </w:rPr>
      </w:pPr>
    </w:p>
    <w:p w14:paraId="26DBD3D0" w14:textId="1347CED6" w:rsidR="00735861" w:rsidRPr="008E50D6" w:rsidRDefault="002D6673" w:rsidP="008E50D6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E50D6">
        <w:rPr>
          <w:rFonts w:ascii="Mazda Type" w:hAnsi="Mazda Type"/>
          <w:b/>
          <w:sz w:val="22"/>
          <w:szCs w:val="22"/>
        </w:rPr>
        <w:t>Hiros</w:t>
      </w:r>
      <w:r w:rsidR="00735861" w:rsidRPr="008E50D6">
        <w:rPr>
          <w:rFonts w:ascii="Mazda Type" w:hAnsi="Mazda Type"/>
          <w:b/>
          <w:sz w:val="22"/>
          <w:szCs w:val="22"/>
        </w:rPr>
        <w:t>z</w:t>
      </w:r>
      <w:r w:rsidRPr="008E50D6">
        <w:rPr>
          <w:rFonts w:ascii="Mazda Type" w:hAnsi="Mazda Type"/>
          <w:b/>
          <w:sz w:val="22"/>
          <w:szCs w:val="22"/>
        </w:rPr>
        <w:t xml:space="preserve">ima / Leverkusen, 7 </w:t>
      </w:r>
      <w:r w:rsidR="00735861" w:rsidRPr="008E50D6">
        <w:rPr>
          <w:rFonts w:ascii="Mazda Type" w:hAnsi="Mazda Type"/>
          <w:b/>
          <w:sz w:val="22"/>
          <w:szCs w:val="22"/>
        </w:rPr>
        <w:t>sierpnia</w:t>
      </w:r>
      <w:r w:rsidRPr="008E50D6">
        <w:rPr>
          <w:rFonts w:ascii="Mazda Type" w:hAnsi="Mazda Type"/>
          <w:b/>
          <w:sz w:val="22"/>
          <w:szCs w:val="22"/>
        </w:rPr>
        <w:t xml:space="preserve"> 2024</w:t>
      </w:r>
      <w:r w:rsidR="00735861" w:rsidRPr="008E50D6">
        <w:rPr>
          <w:rFonts w:ascii="Mazda Type" w:hAnsi="Mazda Type"/>
          <w:b/>
          <w:sz w:val="22"/>
          <w:szCs w:val="22"/>
        </w:rPr>
        <w:t xml:space="preserve"> r</w:t>
      </w:r>
      <w:r w:rsidRPr="008E50D6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735861" w:rsidRPr="008E50D6">
        <w:rPr>
          <w:rStyle w:val="bumpedfont20"/>
          <w:rFonts w:ascii="Mazda Type" w:hAnsi="Mazda Type"/>
          <w:sz w:val="22"/>
          <w:szCs w:val="22"/>
        </w:rPr>
        <w:t xml:space="preserve">Mazda Motor Corporation ogłosiła dzisiaj wyniki finansowe i sprzedażowe za pierwszy kwartał </w:t>
      </w:r>
      <w:r w:rsidR="00CE4E45">
        <w:rPr>
          <w:rStyle w:val="bumpedfont20"/>
          <w:rFonts w:ascii="Mazda Type" w:hAnsi="Mazda Type"/>
          <w:sz w:val="22"/>
          <w:szCs w:val="22"/>
        </w:rPr>
        <w:t>bieżącego</w:t>
      </w:r>
      <w:r w:rsidR="00735861" w:rsidRPr="008E50D6">
        <w:rPr>
          <w:rStyle w:val="bumpedfont20"/>
          <w:rFonts w:ascii="Mazda Type" w:hAnsi="Mazda Type"/>
          <w:sz w:val="22"/>
          <w:szCs w:val="22"/>
        </w:rPr>
        <w:t xml:space="preserve"> roku fiskalnego raportując globalną sprzedaż 309 tys. pojazdów w okresie od 1 kwietnia do 30 czerwca, osiągając ten sam </w:t>
      </w:r>
      <w:r w:rsidR="00723C5B">
        <w:rPr>
          <w:rStyle w:val="bumpedfont20"/>
          <w:rFonts w:ascii="Mazda Type" w:hAnsi="Mazda Type"/>
          <w:sz w:val="22"/>
          <w:szCs w:val="22"/>
        </w:rPr>
        <w:t>rezultat</w:t>
      </w:r>
      <w:r w:rsidR="00735861" w:rsidRPr="008E50D6">
        <w:rPr>
          <w:rStyle w:val="bumpedfont20"/>
          <w:rFonts w:ascii="Mazda Type" w:hAnsi="Mazda Type"/>
          <w:sz w:val="22"/>
          <w:szCs w:val="22"/>
        </w:rPr>
        <w:t>, co w</w:t>
      </w:r>
      <w:r w:rsidR="008E50D6">
        <w:rPr>
          <w:rStyle w:val="bumpedfont20"/>
          <w:rFonts w:ascii="Mazda Type" w:hAnsi="Mazda Type"/>
          <w:sz w:val="22"/>
          <w:szCs w:val="22"/>
        </w:rPr>
        <w:t xml:space="preserve"> analogicznym okresie</w:t>
      </w:r>
      <w:r w:rsidR="00735861" w:rsidRPr="008E50D6">
        <w:rPr>
          <w:rStyle w:val="bumpedfont20"/>
          <w:rFonts w:ascii="Mazda Type" w:hAnsi="Mazda Type"/>
          <w:sz w:val="22"/>
          <w:szCs w:val="22"/>
        </w:rPr>
        <w:t xml:space="preserve"> ubiegł</w:t>
      </w:r>
      <w:r w:rsidR="008E50D6">
        <w:rPr>
          <w:rStyle w:val="bumpedfont20"/>
          <w:rFonts w:ascii="Mazda Type" w:hAnsi="Mazda Type"/>
          <w:sz w:val="22"/>
          <w:szCs w:val="22"/>
        </w:rPr>
        <w:t>ego</w:t>
      </w:r>
      <w:r w:rsidR="00735861" w:rsidRPr="008E50D6">
        <w:rPr>
          <w:rStyle w:val="bumpedfont20"/>
          <w:rFonts w:ascii="Mazda Type" w:hAnsi="Mazda Type"/>
          <w:sz w:val="22"/>
          <w:szCs w:val="22"/>
        </w:rPr>
        <w:t xml:space="preserve"> roku.</w:t>
      </w:r>
    </w:p>
    <w:p w14:paraId="01C61337" w14:textId="77777777" w:rsidR="00735861" w:rsidRPr="008E50D6" w:rsidRDefault="00735861" w:rsidP="008E50D6">
      <w:pPr>
        <w:adjustRightInd w:val="0"/>
        <w:jc w:val="both"/>
        <w:rPr>
          <w:rFonts w:ascii="Mazda Type" w:hAnsi="Mazda Type"/>
          <w:color w:val="FF0000"/>
          <w:kern w:val="2"/>
          <w:sz w:val="22"/>
          <w:szCs w:val="22"/>
          <w:lang w:eastAsia="ja-JP"/>
        </w:rPr>
      </w:pPr>
    </w:p>
    <w:p w14:paraId="4CE800D2" w14:textId="42518D27" w:rsidR="00735861" w:rsidRPr="008E50D6" w:rsidRDefault="00735861" w:rsidP="008E50D6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E50D6">
        <w:rPr>
          <w:rFonts w:ascii="Mazda Type" w:hAnsi="Mazda Type"/>
          <w:kern w:val="2"/>
          <w:sz w:val="22"/>
          <w:szCs w:val="22"/>
          <w:lang w:eastAsia="ja-JP"/>
        </w:rPr>
        <w:t>W Europie sprzedaż w pierwszym kwartale wzrosła o 12% rok do roku, z wynikiem 49 000 pojazdów, napędzana popytem na</w:t>
      </w:r>
      <w:r w:rsidR="003A31C4">
        <w:rPr>
          <w:rFonts w:ascii="Mazda Type" w:hAnsi="Mazda Type"/>
          <w:kern w:val="2"/>
          <w:sz w:val="22"/>
          <w:szCs w:val="22"/>
          <w:lang w:eastAsia="ja-JP"/>
        </w:rPr>
        <w:t xml:space="preserve"> Mazdę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CX-30,</w:t>
      </w:r>
      <w:r w:rsidR="003A31C4">
        <w:rPr>
          <w:rFonts w:ascii="Mazda Type" w:hAnsi="Mazda Type"/>
          <w:kern w:val="2"/>
          <w:sz w:val="22"/>
          <w:szCs w:val="22"/>
          <w:lang w:eastAsia="ja-JP"/>
        </w:rPr>
        <w:t xml:space="preserve"> Mazdę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CX-5 i Mazdę 2</w:t>
      </w:r>
      <w:r w:rsidRPr="008E50D6">
        <w:rPr>
          <w:rStyle w:val="Odwoanieprzypisudolnego"/>
          <w:rFonts w:ascii="Mazda Type" w:hAnsi="Mazda Type"/>
          <w:kern w:val="2"/>
          <w:sz w:val="22"/>
          <w:szCs w:val="22"/>
          <w:lang w:val="en-US" w:eastAsia="ja-JP"/>
        </w:rPr>
        <w:footnoteReference w:id="1"/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>. Udział w rynku wzrósł o 0,1 punktu procentowego rok do roku do 1,2%. Niemcy i Wielka Brytania, największe</w:t>
      </w:r>
      <w:r w:rsidR="008E50D6">
        <w:rPr>
          <w:rFonts w:ascii="Mazda Type" w:hAnsi="Mazda Type"/>
          <w:kern w:val="2"/>
          <w:sz w:val="22"/>
          <w:szCs w:val="22"/>
          <w:lang w:eastAsia="ja-JP"/>
        </w:rPr>
        <w:t xml:space="preserve"> dla Mazdy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rynki</w:t>
      </w:r>
      <w:r w:rsidR="008E50D6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>w regionie, sprzedały odpowiednio 12</w:t>
      </w:r>
      <w:r w:rsidR="003A31C4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>000 i 7000 egzemplarzy. Wolumen sprzedaży Mazdy w Ameryce Północnej wzrósł o 14</w:t>
      </w:r>
      <w:r w:rsidR="008E50D6">
        <w:rPr>
          <w:rFonts w:ascii="Mazda Type" w:hAnsi="Mazda Type"/>
          <w:kern w:val="2"/>
          <w:sz w:val="22"/>
          <w:szCs w:val="22"/>
          <w:lang w:eastAsia="ja-JP"/>
        </w:rPr>
        <w:t>%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do 146 000 sztuk pojazdów, osiągając najwyższą w historii sprzedaż w pierwszym kwartale. Chiny, największy dla Mazdy rynek w Azji, odnotowały sprzedaż na poziomie 18 000 sztuk, co oznacza spadek o 9%. W Japonii, na rodzimym rynku Mazdy, sprzedaż osiągnęła 29 000 egzemplarzy.</w:t>
      </w:r>
    </w:p>
    <w:p w14:paraId="3BCF8782" w14:textId="77777777" w:rsidR="00735861" w:rsidRPr="008E50D6" w:rsidRDefault="00735861" w:rsidP="008E50D6">
      <w:pPr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FDCB09E" w14:textId="7EACD16D" w:rsidR="00735861" w:rsidRPr="008E50D6" w:rsidRDefault="00735861" w:rsidP="008E50D6">
      <w:pPr>
        <w:pStyle w:val="s3"/>
        <w:spacing w:before="0" w:beforeAutospacing="0" w:after="0" w:afterAutospacing="0"/>
        <w:jc w:val="both"/>
        <w:rPr>
          <w:rStyle w:val="bumpedfont20"/>
          <w:rFonts w:ascii="Mazda Type" w:hAnsi="Mazda Type"/>
          <w:sz w:val="22"/>
          <w:szCs w:val="22"/>
          <w:lang w:val="pl-PL"/>
        </w:rPr>
      </w:pP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 xml:space="preserve">W pierwszym kwartale </w:t>
      </w:r>
      <w:r w:rsidR="003A31C4">
        <w:rPr>
          <w:rStyle w:val="bumpedfont20"/>
          <w:rFonts w:ascii="Mazda Type" w:hAnsi="Mazda Type"/>
          <w:sz w:val="22"/>
          <w:szCs w:val="22"/>
          <w:lang w:val="pl-PL"/>
        </w:rPr>
        <w:t>bieżącego</w:t>
      </w: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 xml:space="preserve"> roku fiskalnego </w:t>
      </w:r>
      <w:r w:rsidRPr="008E50D6">
        <w:rPr>
          <w:rFonts w:ascii="Mazda Type" w:hAnsi="Mazda Type"/>
          <w:kern w:val="2"/>
          <w:sz w:val="22"/>
          <w:szCs w:val="22"/>
          <w:lang w:val="pl-PL" w:eastAsia="ja-JP"/>
        </w:rPr>
        <w:t xml:space="preserve">Mazda odnotowała sprzedaż netto </w:t>
      </w: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>w wysokości 1 bln 205,6 mld jenów (7,2 mld euro</w:t>
      </w:r>
      <w:r w:rsidRPr="008E50D6">
        <w:rPr>
          <w:rFonts w:ascii="Mazda Type" w:hAnsi="Mazda Type"/>
          <w:bCs/>
          <w:kern w:val="2"/>
          <w:sz w:val="22"/>
          <w:szCs w:val="22"/>
          <w:lang w:val="pl-PL" w:eastAsia="ja-JP"/>
        </w:rPr>
        <w:t>*) i zysk z</w:t>
      </w: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 xml:space="preserve"> działalności operacyjnej w wysokości 50,4 mld jenów (300 mln euro</w:t>
      </w:r>
      <w:r w:rsidRPr="008E50D6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>), co stanowi wzrost o 68% w porównaniu z rokiem poprzednim. Przychód netto wyniósł 49,8 mld jenów (296,4 mln euro</w:t>
      </w:r>
      <w:r w:rsidRPr="008E50D6">
        <w:rPr>
          <w:rFonts w:ascii="Mazda Type" w:hAnsi="Mazda Type"/>
          <w:bCs/>
          <w:kern w:val="2"/>
          <w:sz w:val="22"/>
          <w:szCs w:val="22"/>
          <w:lang w:val="pl-PL" w:eastAsia="ja-JP"/>
        </w:rPr>
        <w:t>*</w:t>
      </w:r>
      <w:r w:rsidRPr="008E50D6">
        <w:rPr>
          <w:rStyle w:val="bumpedfont20"/>
          <w:rFonts w:ascii="Mazda Type" w:hAnsi="Mazda Type"/>
          <w:sz w:val="22"/>
          <w:szCs w:val="22"/>
          <w:lang w:val="pl-PL"/>
        </w:rPr>
        <w:t xml:space="preserve">). </w:t>
      </w:r>
    </w:p>
    <w:p w14:paraId="5FEA6E87" w14:textId="77777777" w:rsidR="00735861" w:rsidRPr="008E50D6" w:rsidRDefault="00735861" w:rsidP="008E50D6">
      <w:pPr>
        <w:pStyle w:val="s3"/>
        <w:spacing w:before="0" w:beforeAutospacing="0" w:after="0" w:afterAutospacing="0"/>
        <w:jc w:val="both"/>
        <w:rPr>
          <w:rStyle w:val="bumpedfont20"/>
          <w:rFonts w:ascii="Mazda Type" w:hAnsi="Mazda Type"/>
          <w:sz w:val="22"/>
          <w:szCs w:val="22"/>
          <w:lang w:val="pl-PL"/>
        </w:rPr>
      </w:pPr>
    </w:p>
    <w:p w14:paraId="78FCD6C0" w14:textId="69E3373C" w:rsidR="00735861" w:rsidRPr="008E50D6" w:rsidRDefault="00735861" w:rsidP="008E50D6">
      <w:pPr>
        <w:adjustRightInd w:val="0"/>
        <w:jc w:val="both"/>
        <w:rPr>
          <w:rStyle w:val="bumpedfont20"/>
          <w:rFonts w:ascii="Mazda Type" w:hAnsi="Mazda Type"/>
          <w:kern w:val="2"/>
          <w:sz w:val="22"/>
          <w:szCs w:val="22"/>
          <w:lang w:eastAsia="ja-JP"/>
        </w:rPr>
      </w:pPr>
      <w:r w:rsidRPr="008E50D6">
        <w:rPr>
          <w:rStyle w:val="bumpedfont20"/>
          <w:rFonts w:ascii="Mazda Type" w:hAnsi="Mazda Type"/>
          <w:sz w:val="22"/>
          <w:szCs w:val="22"/>
        </w:rPr>
        <w:t>Stałe monitorowanie otoczenia biznesowego pozwala w perspektywie pełnego roku fiskalnego</w:t>
      </w:r>
      <w:r w:rsidR="003A31C4">
        <w:rPr>
          <w:rStyle w:val="bumpedfont20"/>
          <w:rFonts w:ascii="Mazda Type" w:hAnsi="Mazda Type"/>
          <w:sz w:val="22"/>
          <w:szCs w:val="22"/>
        </w:rPr>
        <w:t xml:space="preserve"> kończącego się w marcu 2025 r.</w:t>
      </w:r>
      <w:r w:rsidRPr="008E50D6">
        <w:rPr>
          <w:rStyle w:val="bumpedfont20"/>
          <w:rFonts w:ascii="Mazda Type" w:hAnsi="Mazda Type"/>
          <w:sz w:val="22"/>
          <w:szCs w:val="22"/>
        </w:rPr>
        <w:t xml:space="preserve"> na niezmienne prognozowanie 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sprzedaży netto </w:t>
      </w:r>
      <w:r w:rsidRPr="008E50D6">
        <w:rPr>
          <w:rStyle w:val="bumpedfont20"/>
          <w:rFonts w:ascii="Mazda Type" w:hAnsi="Mazda Type"/>
          <w:sz w:val="22"/>
          <w:szCs w:val="22"/>
        </w:rPr>
        <w:t>w wysokości 5 bln 350 mld jenów (33 mld euro</w:t>
      </w:r>
      <w:r w:rsidRPr="008E50D6">
        <w:rPr>
          <w:rFonts w:ascii="Mazda Type" w:hAnsi="Mazda Type"/>
          <w:bCs/>
          <w:kern w:val="2"/>
          <w:sz w:val="22"/>
          <w:szCs w:val="22"/>
          <w:lang w:eastAsia="ja-JP"/>
        </w:rPr>
        <w:t>*), zysku operacyjnego w wysokości 270 mld jenów (</w:t>
      </w:r>
      <w:r w:rsidRPr="008E50D6">
        <w:rPr>
          <w:rStyle w:val="bumpedfont20"/>
          <w:rFonts w:ascii="Mazda Type" w:hAnsi="Mazda Type"/>
          <w:sz w:val="22"/>
          <w:szCs w:val="22"/>
        </w:rPr>
        <w:t>1,6 mld euro*) i przychodów netto w wysokości 150 miliardów jenów (925,9 mln euro).</w:t>
      </w:r>
    </w:p>
    <w:p w14:paraId="475F8CF3" w14:textId="77777777" w:rsidR="00735861" w:rsidRPr="008E50D6" w:rsidRDefault="00735861" w:rsidP="008E50D6">
      <w:pPr>
        <w:adjustRightInd w:val="0"/>
        <w:jc w:val="both"/>
        <w:rPr>
          <w:rFonts w:ascii="Mazda Type" w:hAnsi="Mazda Type"/>
          <w:color w:val="FF0000"/>
          <w:kern w:val="2"/>
          <w:sz w:val="22"/>
          <w:szCs w:val="22"/>
          <w:lang w:eastAsia="ja-JP"/>
        </w:rPr>
      </w:pPr>
    </w:p>
    <w:p w14:paraId="45A1F229" w14:textId="56A2C393" w:rsidR="002D6673" w:rsidRPr="008E50D6" w:rsidRDefault="00735861" w:rsidP="008E50D6">
      <w:pPr>
        <w:adjustRightInd w:val="0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8E50D6">
        <w:rPr>
          <w:rFonts w:ascii="Mazda Type" w:hAnsi="Mazda Type"/>
          <w:kern w:val="2"/>
          <w:sz w:val="22"/>
          <w:szCs w:val="22"/>
          <w:lang w:eastAsia="ja-JP"/>
        </w:rPr>
        <w:t>Mazda będzie nadal monitorować otoczenie gospodarcze, trendy w popycie na samochody na różnych rynkach oraz przyszły rozwój</w:t>
      </w:r>
      <w:r w:rsidR="008E50D6">
        <w:rPr>
          <w:rFonts w:ascii="Mazda Type" w:hAnsi="Mazda Type"/>
          <w:kern w:val="2"/>
          <w:sz w:val="22"/>
          <w:szCs w:val="22"/>
          <w:lang w:eastAsia="ja-JP"/>
        </w:rPr>
        <w:t xml:space="preserve"> zróżnicowanych czynników</w:t>
      </w:r>
      <w:r w:rsidRPr="008E50D6">
        <w:rPr>
          <w:rFonts w:ascii="Mazda Type" w:hAnsi="Mazda Type"/>
          <w:kern w:val="2"/>
          <w:sz w:val="22"/>
          <w:szCs w:val="22"/>
          <w:lang w:eastAsia="ja-JP"/>
        </w:rPr>
        <w:t xml:space="preserve"> mających wpływ na działalność. Naszym celem jest stały postęp w zakresie elektryfikacji i tworzenia wartości</w:t>
      </w:r>
      <w:r w:rsidR="003A31C4">
        <w:rPr>
          <w:rFonts w:ascii="Mazda Type" w:hAnsi="Mazda Type"/>
          <w:kern w:val="2"/>
          <w:sz w:val="22"/>
          <w:szCs w:val="22"/>
          <w:lang w:eastAsia="ja-JP"/>
        </w:rPr>
        <w:t xml:space="preserve"> w przyszłości</w:t>
      </w:r>
      <w:r w:rsidR="008E50D6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70D3DFD0" w14:textId="77777777" w:rsidR="002D6673" w:rsidRPr="008E50D6" w:rsidRDefault="002D6673" w:rsidP="008E50D6">
      <w:pPr>
        <w:adjustRightInd w:val="0"/>
        <w:jc w:val="both"/>
        <w:rPr>
          <w:rFonts w:ascii="Mazda Type" w:hAnsi="Mazda Type"/>
          <w:color w:val="FF0000"/>
          <w:kern w:val="2"/>
          <w:sz w:val="22"/>
          <w:szCs w:val="22"/>
          <w:lang w:eastAsia="ja-JP"/>
        </w:rPr>
      </w:pPr>
    </w:p>
    <w:p w14:paraId="0B3E355D" w14:textId="79947BF9" w:rsidR="002D6673" w:rsidRPr="008E50D6" w:rsidRDefault="00735861" w:rsidP="008E50D6">
      <w:pPr>
        <w:adjustRightInd w:val="0"/>
        <w:jc w:val="both"/>
        <w:rPr>
          <w:rFonts w:ascii="Mazda Type" w:hAnsi="Mazda Type"/>
          <w:color w:val="FF0000"/>
          <w:kern w:val="2"/>
          <w:sz w:val="16"/>
          <w:szCs w:val="16"/>
          <w:lang w:eastAsia="ja-JP"/>
        </w:rPr>
      </w:pPr>
      <w:r w:rsidRPr="008E50D6">
        <w:rPr>
          <w:rFonts w:ascii="Mazda Type" w:hAnsi="Mazda Type"/>
          <w:kern w:val="2"/>
          <w:sz w:val="16"/>
          <w:szCs w:val="16"/>
          <w:lang w:eastAsia="ja-JP"/>
        </w:rPr>
        <w:t>źródło</w:t>
      </w:r>
      <w:r w:rsidR="002D6673" w:rsidRPr="008E50D6">
        <w:rPr>
          <w:rFonts w:ascii="Mazda Type" w:hAnsi="Mazda Type"/>
          <w:kern w:val="2"/>
          <w:sz w:val="16"/>
          <w:szCs w:val="16"/>
          <w:lang w:eastAsia="ja-JP"/>
        </w:rPr>
        <w:t xml:space="preserve">: </w:t>
      </w:r>
      <w:hyperlink r:id="rId8" w:history="1">
        <w:r w:rsidR="002D6673" w:rsidRPr="008E50D6">
          <w:rPr>
            <w:rStyle w:val="Hipercze"/>
            <w:rFonts w:ascii="Mazda Type" w:hAnsi="Mazda Type"/>
            <w:kern w:val="2"/>
            <w:sz w:val="16"/>
            <w:szCs w:val="16"/>
            <w:lang w:eastAsia="ja-JP"/>
          </w:rPr>
          <w:t>https://www.mazda.com/globalassets/en/assets/investors/library/result/files/presentation20240807_e.pdf</w:t>
        </w:r>
      </w:hyperlink>
      <w:r w:rsidR="002D6673" w:rsidRPr="008E50D6">
        <w:rPr>
          <w:rFonts w:ascii="Mazda Type" w:hAnsi="Mazda Type"/>
          <w:kern w:val="2"/>
          <w:sz w:val="16"/>
          <w:szCs w:val="16"/>
          <w:lang w:eastAsia="ja-JP"/>
        </w:rPr>
        <w:t xml:space="preserve"> </w:t>
      </w:r>
    </w:p>
    <w:p w14:paraId="0AF01F84" w14:textId="66808C21" w:rsidR="004541AF" w:rsidRPr="008E50D6" w:rsidRDefault="008E50D6" w:rsidP="008E50D6">
      <w:pPr>
        <w:adjustRightInd w:val="0"/>
        <w:jc w:val="both"/>
        <w:rPr>
          <w:rFonts w:ascii="Mazda Type" w:hAnsi="Mazda Type"/>
          <w:kern w:val="2"/>
          <w:sz w:val="16"/>
          <w:szCs w:val="16"/>
          <w:lang w:eastAsia="ja-JP"/>
        </w:rPr>
      </w:pPr>
      <w:r w:rsidRPr="008E50D6">
        <w:rPr>
          <w:rFonts w:ascii="Mazda Type" w:hAnsi="Mazda Type"/>
          <w:kern w:val="2"/>
          <w:sz w:val="16"/>
          <w:szCs w:val="16"/>
          <w:lang w:eastAsia="ja-JP"/>
        </w:rPr>
        <w:lastRenderedPageBreak/>
        <w:t>*</w:t>
      </w:r>
      <w:r w:rsidR="00735861" w:rsidRPr="008E50D6">
        <w:rPr>
          <w:rStyle w:val="bumpedfont20"/>
          <w:rFonts w:ascii="Mazda Type" w:hAnsi="Mazda Type"/>
          <w:sz w:val="16"/>
          <w:szCs w:val="16"/>
          <w:lang w:val="fr-FR"/>
        </w:rPr>
        <w:t>Wyniki finansowe za pierwszy kwartał roku fiskalnego zostały podane w oparciu o kurs €1 = ¥168, a prognozy dla pełnego roku fiskalnego zostały wyliczone w oparciu o kurs €1 = ¥162</w:t>
      </w:r>
      <w:r>
        <w:rPr>
          <w:rStyle w:val="bumpedfont20"/>
          <w:rFonts w:ascii="Mazda Type" w:hAnsi="Mazda Type"/>
          <w:sz w:val="16"/>
          <w:szCs w:val="16"/>
          <w:lang w:val="fr-FR"/>
        </w:rPr>
        <w:t>.</w:t>
      </w:r>
    </w:p>
    <w:sectPr w:rsidR="004541AF" w:rsidRPr="008E50D6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35E1" w14:textId="77777777" w:rsidR="00DF7F1E" w:rsidRDefault="00DF7F1E" w:rsidP="004A3985">
      <w:r>
        <w:separator/>
      </w:r>
    </w:p>
  </w:endnote>
  <w:endnote w:type="continuationSeparator" w:id="0">
    <w:p w14:paraId="2C0D4474" w14:textId="77777777" w:rsidR="00DF7F1E" w:rsidRDefault="00DF7F1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883BA" w14:textId="77777777" w:rsidR="00DF7F1E" w:rsidRDefault="00DF7F1E" w:rsidP="004A3985">
      <w:r>
        <w:separator/>
      </w:r>
    </w:p>
  </w:footnote>
  <w:footnote w:type="continuationSeparator" w:id="0">
    <w:p w14:paraId="4345FB3B" w14:textId="77777777" w:rsidR="00DF7F1E" w:rsidRDefault="00DF7F1E" w:rsidP="004A3985">
      <w:r>
        <w:continuationSeparator/>
      </w:r>
    </w:p>
  </w:footnote>
  <w:footnote w:id="1">
    <w:p w14:paraId="4722E041" w14:textId="729A2602" w:rsidR="00735861" w:rsidRPr="008E50D6" w:rsidRDefault="00735861" w:rsidP="00735861">
      <w:pPr>
        <w:pStyle w:val="Tekstprzypisudolnego"/>
        <w:rPr>
          <w:rFonts w:ascii="Mazda Type" w:hAnsi="Mazda Type"/>
          <w:sz w:val="16"/>
          <w:szCs w:val="16"/>
        </w:rPr>
      </w:pPr>
      <w:r w:rsidRPr="008E50D6">
        <w:rPr>
          <w:rStyle w:val="Odwoanieprzypisudolnego"/>
          <w:rFonts w:ascii="Mazda Type" w:hAnsi="Mazda Type"/>
          <w:sz w:val="16"/>
          <w:szCs w:val="16"/>
        </w:rPr>
        <w:footnoteRef/>
      </w:r>
      <w:r w:rsidRPr="008E50D6">
        <w:rPr>
          <w:rFonts w:ascii="Mazda Type" w:hAnsi="Mazda Type"/>
          <w:sz w:val="16"/>
          <w:szCs w:val="16"/>
        </w:rPr>
        <w:t xml:space="preserve"> Zużycie paliwa 4</w:t>
      </w:r>
      <w:r w:rsidR="003A31C4">
        <w:rPr>
          <w:rFonts w:ascii="Mazda Type" w:hAnsi="Mazda Type"/>
          <w:sz w:val="16"/>
          <w:szCs w:val="16"/>
        </w:rPr>
        <w:t>,</w:t>
      </w:r>
      <w:r w:rsidRPr="008E50D6">
        <w:rPr>
          <w:rFonts w:ascii="Mazda Type" w:hAnsi="Mazda Type"/>
          <w:sz w:val="16"/>
          <w:szCs w:val="16"/>
        </w:rPr>
        <w:t>7-5</w:t>
      </w:r>
      <w:r w:rsidR="003A31C4">
        <w:rPr>
          <w:rFonts w:ascii="Mazda Type" w:hAnsi="Mazda Type"/>
          <w:sz w:val="16"/>
          <w:szCs w:val="16"/>
        </w:rPr>
        <w:t>,</w:t>
      </w:r>
      <w:r w:rsidRPr="008E50D6">
        <w:rPr>
          <w:rFonts w:ascii="Mazda Type" w:hAnsi="Mazda Type"/>
          <w:sz w:val="16"/>
          <w:szCs w:val="16"/>
        </w:rPr>
        <w:t>4 l/100 km; emisja CO</w:t>
      </w:r>
      <w:r w:rsidRPr="008E50D6">
        <w:rPr>
          <w:rFonts w:ascii="Mazda Type" w:hAnsi="Mazda Type"/>
          <w:sz w:val="16"/>
          <w:szCs w:val="16"/>
          <w:vertAlign w:val="subscript"/>
        </w:rPr>
        <w:t>2</w:t>
      </w:r>
      <w:r w:rsidRPr="008E50D6">
        <w:rPr>
          <w:rFonts w:ascii="Mazda Type" w:hAnsi="Mazda Type"/>
          <w:sz w:val="16"/>
          <w:szCs w:val="16"/>
        </w:rPr>
        <w:t xml:space="preserve"> 107-122 g/km, klasa emisji CO</w:t>
      </w:r>
      <w:r w:rsidRPr="008E50D6">
        <w:rPr>
          <w:rFonts w:ascii="Mazda Type" w:hAnsi="Mazda Type"/>
          <w:sz w:val="16"/>
          <w:szCs w:val="16"/>
          <w:vertAlign w:val="subscript"/>
        </w:rPr>
        <w:t>2</w:t>
      </w:r>
      <w:r w:rsidRPr="008E50D6">
        <w:rPr>
          <w:rFonts w:ascii="Mazda Type" w:hAnsi="Mazda Type"/>
          <w:sz w:val="16"/>
          <w:szCs w:val="16"/>
        </w:rPr>
        <w:t>: C-D, (cykl mieszany).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2"/>
  </w:num>
  <w:num w:numId="3" w16cid:durableId="126901177">
    <w:abstractNumId w:val="6"/>
  </w:num>
  <w:num w:numId="4" w16cid:durableId="1634021722">
    <w:abstractNumId w:val="3"/>
  </w:num>
  <w:num w:numId="5" w16cid:durableId="1164010613">
    <w:abstractNumId w:val="5"/>
  </w:num>
  <w:num w:numId="6" w16cid:durableId="1958829047">
    <w:abstractNumId w:val="1"/>
  </w:num>
  <w:num w:numId="7" w16cid:durableId="1006638640">
    <w:abstractNumId w:val="8"/>
  </w:num>
  <w:num w:numId="8" w16cid:durableId="1015771219">
    <w:abstractNumId w:val="9"/>
  </w:num>
  <w:num w:numId="9" w16cid:durableId="1753971825">
    <w:abstractNumId w:val="4"/>
  </w:num>
  <w:num w:numId="10" w16cid:durableId="1195313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C20E9"/>
    <w:rsid w:val="000C5E8E"/>
    <w:rsid w:val="000E2693"/>
    <w:rsid w:val="001015E5"/>
    <w:rsid w:val="00106057"/>
    <w:rsid w:val="00122A4A"/>
    <w:rsid w:val="00127F48"/>
    <w:rsid w:val="001404DB"/>
    <w:rsid w:val="00160534"/>
    <w:rsid w:val="00172F0C"/>
    <w:rsid w:val="00195357"/>
    <w:rsid w:val="001B3AF5"/>
    <w:rsid w:val="001D6A50"/>
    <w:rsid w:val="001F73B5"/>
    <w:rsid w:val="0023526D"/>
    <w:rsid w:val="002367A3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22AC4"/>
    <w:rsid w:val="00324E7A"/>
    <w:rsid w:val="003429DC"/>
    <w:rsid w:val="00343C7E"/>
    <w:rsid w:val="00357565"/>
    <w:rsid w:val="003634CA"/>
    <w:rsid w:val="0038207A"/>
    <w:rsid w:val="00390F07"/>
    <w:rsid w:val="00397CD3"/>
    <w:rsid w:val="003A31C4"/>
    <w:rsid w:val="003C0726"/>
    <w:rsid w:val="003F23A0"/>
    <w:rsid w:val="00413520"/>
    <w:rsid w:val="004541AF"/>
    <w:rsid w:val="00456073"/>
    <w:rsid w:val="00460308"/>
    <w:rsid w:val="004909C6"/>
    <w:rsid w:val="004950EA"/>
    <w:rsid w:val="004A2243"/>
    <w:rsid w:val="004A3985"/>
    <w:rsid w:val="004A3EBE"/>
    <w:rsid w:val="004A6EB4"/>
    <w:rsid w:val="004C10FA"/>
    <w:rsid w:val="005006F7"/>
    <w:rsid w:val="00511222"/>
    <w:rsid w:val="00525A25"/>
    <w:rsid w:val="00531F78"/>
    <w:rsid w:val="00546E35"/>
    <w:rsid w:val="005470D0"/>
    <w:rsid w:val="00557804"/>
    <w:rsid w:val="0057234C"/>
    <w:rsid w:val="0057663E"/>
    <w:rsid w:val="005C33DA"/>
    <w:rsid w:val="005D0208"/>
    <w:rsid w:val="005E5E75"/>
    <w:rsid w:val="006055A4"/>
    <w:rsid w:val="00622FCB"/>
    <w:rsid w:val="006365A6"/>
    <w:rsid w:val="006473CE"/>
    <w:rsid w:val="00654182"/>
    <w:rsid w:val="00681841"/>
    <w:rsid w:val="006A538C"/>
    <w:rsid w:val="006B69A5"/>
    <w:rsid w:val="006C7A3E"/>
    <w:rsid w:val="006D6CC2"/>
    <w:rsid w:val="007026F1"/>
    <w:rsid w:val="0072319D"/>
    <w:rsid w:val="00723C5B"/>
    <w:rsid w:val="007273C5"/>
    <w:rsid w:val="00735861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C464D"/>
    <w:rsid w:val="008D70CF"/>
    <w:rsid w:val="008E50D6"/>
    <w:rsid w:val="008E56BE"/>
    <w:rsid w:val="008F7EF8"/>
    <w:rsid w:val="009342C1"/>
    <w:rsid w:val="009379C6"/>
    <w:rsid w:val="00946EDE"/>
    <w:rsid w:val="00952982"/>
    <w:rsid w:val="00952AE5"/>
    <w:rsid w:val="009705D8"/>
    <w:rsid w:val="00980DA1"/>
    <w:rsid w:val="0098696B"/>
    <w:rsid w:val="0099701C"/>
    <w:rsid w:val="009A4800"/>
    <w:rsid w:val="009A7A12"/>
    <w:rsid w:val="009C5F6E"/>
    <w:rsid w:val="009E1EA3"/>
    <w:rsid w:val="00A104D0"/>
    <w:rsid w:val="00A119D2"/>
    <w:rsid w:val="00A224CB"/>
    <w:rsid w:val="00A27C2A"/>
    <w:rsid w:val="00A40B9D"/>
    <w:rsid w:val="00A5440E"/>
    <w:rsid w:val="00AA2D48"/>
    <w:rsid w:val="00AA4D67"/>
    <w:rsid w:val="00AB65D3"/>
    <w:rsid w:val="00AD4000"/>
    <w:rsid w:val="00AE0EBB"/>
    <w:rsid w:val="00AE378B"/>
    <w:rsid w:val="00AF3778"/>
    <w:rsid w:val="00AF634C"/>
    <w:rsid w:val="00B01908"/>
    <w:rsid w:val="00B23C63"/>
    <w:rsid w:val="00B30430"/>
    <w:rsid w:val="00B47A2E"/>
    <w:rsid w:val="00B518DF"/>
    <w:rsid w:val="00B76934"/>
    <w:rsid w:val="00B96CB2"/>
    <w:rsid w:val="00BA0B22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8453D"/>
    <w:rsid w:val="00CB50B3"/>
    <w:rsid w:val="00CE4E45"/>
    <w:rsid w:val="00CE676E"/>
    <w:rsid w:val="00D032D5"/>
    <w:rsid w:val="00D172B3"/>
    <w:rsid w:val="00D240A5"/>
    <w:rsid w:val="00D32050"/>
    <w:rsid w:val="00D445A5"/>
    <w:rsid w:val="00D50530"/>
    <w:rsid w:val="00D575B2"/>
    <w:rsid w:val="00D763AD"/>
    <w:rsid w:val="00D94DD3"/>
    <w:rsid w:val="00DA6D35"/>
    <w:rsid w:val="00DD6204"/>
    <w:rsid w:val="00DE096F"/>
    <w:rsid w:val="00DF7F1E"/>
    <w:rsid w:val="00E0030F"/>
    <w:rsid w:val="00E300F0"/>
    <w:rsid w:val="00E41741"/>
    <w:rsid w:val="00E41D4F"/>
    <w:rsid w:val="00E57472"/>
    <w:rsid w:val="00E6723D"/>
    <w:rsid w:val="00E76DE6"/>
    <w:rsid w:val="00E8458C"/>
    <w:rsid w:val="00EB1176"/>
    <w:rsid w:val="00EB7EE3"/>
    <w:rsid w:val="00ED120A"/>
    <w:rsid w:val="00EF2895"/>
    <w:rsid w:val="00F060D8"/>
    <w:rsid w:val="00F158E0"/>
    <w:rsid w:val="00F537D8"/>
    <w:rsid w:val="00F90E5D"/>
    <w:rsid w:val="00F97403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.com/globalassets/en/assets/investors/library/result/files/presentation20240807_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6</cp:revision>
  <cp:lastPrinted>2021-05-14T12:26:00Z</cp:lastPrinted>
  <dcterms:created xsi:type="dcterms:W3CDTF">2024-08-07T09:24:00Z</dcterms:created>
  <dcterms:modified xsi:type="dcterms:W3CDTF">2024-08-07T11:26:00Z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